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6ADB4">
      <w:pPr>
        <w:pStyle w:val="2"/>
        <w:bidi w:val="0"/>
        <w:spacing w:line="360" w:lineRule="auto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第一段：人工智能的技术突破与伦理挑战</w:t>
      </w:r>
    </w:p>
    <w:p w14:paraId="78144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近年来，人工智能技术实现了跨越式发展。以Transformer架构为核心的大语言模型展现出惊人的涌现能力，GPT-4等系统在自然语言处理任务中的表现已接近人类水平。多模态模型的突破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更令人瞩目，如谷歌的PaLM-E能同时处理文本、图像和机器人控制指令，预示着具身智能的曙光。在医疗领域，DeepMind的AlphaFold2破解了蛋白质折叠难题，将原本需要数年的研究缩短至数小时，这不仅是算法胜利，更是对人类科学范式的重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86EB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但技术狂飙突进也带来深层伦理困境。生成式AI引发的版权争议已进入司法战场，纽约法院近期受理的首例AI作品著作权案暴露了法律体系的滞后性。更严峻的是认知安全危机：深度伪造技术生成的虚假信息正在挑战社会信任基础，MIT研究显示，普通人识别深度伪造视频的成功率不足52%。当AI系统在招聘、信贷等决策环节替代人类时，算法偏见可能被制度性放大——亚马逊曾被迫废弃存在性别歧视的招聘算法，这警示我们技术中立性只是美丽谎言。</w:t>
      </w:r>
    </w:p>
    <w:p w14:paraId="6120A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技术伦理学家莎拉·贝克提出"算法透明度悖论"：越强大的AI系统，其决策过程越难以解释。这种黑箱特性与人类对可解释性的根本需求形成尖锐对立。欧盟《人工智能法案》试图通过风险分级制度化解矛盾，但监管滞后于技术发展的现实难以改变。我们正站在技术奇点的前夜，亟需建立全球协同的伦理框架，这需要技术开发者、政策制定者与公众展开前所未有的深度对话。</w:t>
      </w:r>
    </w:p>
    <w:p w14:paraId="30993D69">
      <w:pPr>
        <w:pStyle w:val="2"/>
        <w:bidi w:val="0"/>
        <w:spacing w:line="360" w:lineRule="auto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第二段：人工智能重塑产业生态的路径探索</w:t>
      </w:r>
    </w:p>
    <w:p w14:paraId="5C0CB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当前AI技术渗透已从互联网领域扩展到实体经济纵深。制造业智能化转型呈现三个特征：工业视觉检测精度突破99.9%，预测性维护将设备停机时间降低40%，数字孪生技术使产品研发周期压缩60%。波士顿咨询研究显示，AI驱动的柔性生产线使个性化定制成本降至批量生产的1.5倍以内，这正在解构传统规模经济理论。</w:t>
      </w:r>
    </w:p>
    <w:p w14:paraId="321B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服务业变革更具颠覆性。教育领域，智能导师系统通过知识图谱实时诊断学习盲区，北大试点项目证明其可将教学效率提升300%。医疗行业，AI辅助诊断在肺癌筛查等领域的准确率超越人类专家，但美国医学协会强调必须保持"人在环路"的最终决策权。最剧烈的震荡发生在内容创作领域：AI生成的虚拟网红占据社交平台流量高地，好莱坞编剧罢工事件折射出创作者对AI替代的深层焦虑。</w:t>
      </w:r>
    </w:p>
    <w:p w14:paraId="2A9BB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这场变革催生了新型数字鸿沟。麦肯锡报告指出，掌握AI工具的知识工作者生产力提升47%，而传统劳动者面临严峻的转型压力。令人振奋的是，新加坡推出的"AI技能通行证"计划证明，经过针对性培训，65%的转型者能在6个月内掌握基础AI协作技能。企业组织形态也在进化，Automattic等公司采用"人类+AI"混合团队模式，将重复性工作交给AI，人类聚焦于战略决策与创意生成。这种重构要求我们重新定义价值创造体系，建立适应智能时代的生产关系。</w:t>
      </w:r>
    </w:p>
    <w:p w14:paraId="25D41842">
      <w:pPr>
        <w:pStyle w:val="2"/>
        <w:bidi w:val="0"/>
        <w:spacing w:line="360" w:lineRule="auto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第三段：人机协同的未来社会图景</w:t>
      </w:r>
    </w:p>
    <w:p w14:paraId="13B8B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当通用人工智能（AGI）的曙光初现，人类文明正面临根本性抉择。神经科学家米格尔·尼科莱利斯警告："我们可能成为最后一代纯粹的人类文明。"但乐观主义者描绘了截然不同的图景：脑机接口先驱陈天桥设想，AI将扩展人类认知边界，使普通人具备瞬间掌握多门语言的能力。这种增强智能（IA）路径或许能避免取代人类的终极恐惧。</w:t>
      </w:r>
    </w:p>
    <w:p w14:paraId="03FBB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育范式重构方面，元宇宙与AI的结合正在打破时空限制。斯坦福虚拟校园中，学生可以同时向爱因斯坦学习相对论，与李白对饮赋诗，这种沉浸式学习使知识留存率提升至传统教学的3倍。更深远的影响在于个性化教育——AI系统能根据神经反馈动态调整教学策略，让因材施教从理想变为可量化的工程问题。</w:t>
      </w:r>
    </w:p>
    <w:p w14:paraId="5F09E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面对技术洪流，哲学家们呼吁重审人类本质价值。MIT媒体实验室提出的"心灵增强"概念强调：当AI接管逻辑运算，人类应深耕情感智慧、伦理判断与跨文化理解等机器难以企及的领域。日内瓦AI伦理宣言提出"技术谦逊原则"，要求所有AI系统必须包含对人类认知局限性的理解模块。或许，人机文明的终极形态不是替代而是共生，就像普罗米修斯之火，既带来危险，也照亮前进的道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7C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2025-05-28T03:28:49Z</dcterms:created>
  <dc:creator>apple</dc:creator>
  <cp:lastModifiedBy>apple</cp:lastModifiedBy>
  <dcterms:modified xsi:type="dcterms:W3CDTF">2025-05-28T03:30:53Z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eyJoZGlkIjoiMWUxMTU5YjQ1ZTRkNDM4ZDIzMzFmY2Q5OWZhZjgyMmQifQ==</vt:lpwstr>
  </property>
  <property fmtid="{D5CDD505-2E9C-101B-9397-08002B2CF9AE}" pid="4" name="ICV">
    <vt:lpwstr>A31F05DE0EB94E08AFC63BDDB0A8FD13_12</vt:lpwstr>
  </property>
</Properties>
</file>